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A8BE" w14:textId="4A720225" w:rsidR="003352D7" w:rsidRPr="00C44BD4" w:rsidRDefault="00FF0D1D" w:rsidP="003352D7">
      <w:pPr>
        <w:rPr>
          <w:rFonts w:asciiTheme="minorHAnsi" w:hAnsiTheme="minorHAnsi" w:cstheme="minorHAnsi"/>
          <w:b/>
          <w:szCs w:val="24"/>
        </w:rPr>
      </w:pPr>
      <w:r w:rsidRPr="00C44BD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65C86075" wp14:editId="1FD702C6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95400" cy="9715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2D7" w:rsidRPr="00C44BD4">
        <w:rPr>
          <w:rFonts w:asciiTheme="minorHAnsi" w:hAnsiTheme="minorHAnsi" w:cstheme="minorHAnsi"/>
          <w:b/>
          <w:szCs w:val="24"/>
        </w:rPr>
        <w:tab/>
      </w:r>
      <w:r w:rsidR="003352D7" w:rsidRPr="00C44BD4">
        <w:rPr>
          <w:rFonts w:asciiTheme="minorHAnsi" w:hAnsiTheme="minorHAnsi" w:cstheme="minorHAnsi"/>
          <w:b/>
          <w:szCs w:val="24"/>
        </w:rPr>
        <w:tab/>
      </w:r>
    </w:p>
    <w:p w14:paraId="59D66E7E" w14:textId="77777777" w:rsidR="003352D7" w:rsidRPr="00C44BD4" w:rsidRDefault="003352D7" w:rsidP="003352D7">
      <w:pPr>
        <w:rPr>
          <w:rFonts w:asciiTheme="minorHAnsi" w:hAnsiTheme="minorHAnsi" w:cstheme="minorHAnsi"/>
          <w:b/>
          <w:szCs w:val="24"/>
        </w:rPr>
      </w:pPr>
    </w:p>
    <w:p w14:paraId="1259C014" w14:textId="77777777" w:rsidR="003352D7" w:rsidRPr="00C44BD4" w:rsidRDefault="003352D7" w:rsidP="003352D7">
      <w:pPr>
        <w:rPr>
          <w:rFonts w:asciiTheme="minorHAnsi" w:hAnsiTheme="minorHAnsi" w:cstheme="minorHAnsi"/>
          <w:b/>
          <w:szCs w:val="24"/>
        </w:rPr>
      </w:pPr>
    </w:p>
    <w:p w14:paraId="182A6CC0" w14:textId="7C6EAD98" w:rsidR="003352D7" w:rsidRPr="009A6A26" w:rsidRDefault="003352D7" w:rsidP="003352D7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9A6A26">
        <w:rPr>
          <w:rFonts w:asciiTheme="minorHAnsi" w:hAnsiTheme="minorHAnsi" w:cstheme="minorHAnsi"/>
          <w:b/>
          <w:color w:val="C00000"/>
          <w:sz w:val="32"/>
          <w:szCs w:val="32"/>
        </w:rPr>
        <w:t>Recrutement ATER 2025</w:t>
      </w:r>
      <w:r w:rsidR="00801DBA" w:rsidRPr="009A6A26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</w:t>
      </w:r>
    </w:p>
    <w:p w14:paraId="2E9ABF0B" w14:textId="77777777" w:rsidR="003352D7" w:rsidRPr="00C44BD4" w:rsidRDefault="003352D7" w:rsidP="003352D7">
      <w:pPr>
        <w:rPr>
          <w:rFonts w:asciiTheme="minorHAnsi" w:hAnsiTheme="minorHAnsi" w:cstheme="minorHAnsi"/>
          <w:b/>
          <w:szCs w:val="24"/>
        </w:rPr>
      </w:pPr>
    </w:p>
    <w:p w14:paraId="019FD2CE" w14:textId="77777777" w:rsidR="00572D19" w:rsidRPr="00C44BD4" w:rsidRDefault="00572D19" w:rsidP="00AB3518">
      <w:pPr>
        <w:jc w:val="center"/>
        <w:rPr>
          <w:rFonts w:asciiTheme="minorHAnsi" w:hAnsiTheme="minorHAnsi" w:cstheme="minorHAnsi"/>
          <w:b/>
          <w:sz w:val="20"/>
        </w:rPr>
      </w:pPr>
    </w:p>
    <w:tbl>
      <w:tblPr>
        <w:tblStyle w:val="Grilledutableau"/>
        <w:tblW w:w="1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178"/>
      </w:tblGrid>
      <w:tr w:rsidR="00A636B6" w:rsidRPr="00C44BD4" w14:paraId="041ADA01" w14:textId="77777777" w:rsidTr="00343792">
        <w:trPr>
          <w:trHeight w:val="289"/>
        </w:trPr>
        <w:tc>
          <w:tcPr>
            <w:tcW w:w="2518" w:type="dxa"/>
          </w:tcPr>
          <w:p w14:paraId="6B66D916" w14:textId="77777777" w:rsidR="00A636B6" w:rsidRPr="00C44BD4" w:rsidRDefault="00A636B6" w:rsidP="00A636B6">
            <w:pPr>
              <w:rPr>
                <w:rFonts w:asciiTheme="minorHAnsi" w:hAnsiTheme="minorHAnsi" w:cstheme="minorHAnsi"/>
                <w:sz w:val="20"/>
              </w:rPr>
            </w:pPr>
            <w:r w:rsidRPr="00C44BD4">
              <w:rPr>
                <w:rFonts w:asciiTheme="minorHAnsi" w:hAnsiTheme="minorHAnsi" w:cstheme="minorHAnsi"/>
                <w:b/>
                <w:bCs/>
                <w:szCs w:val="24"/>
              </w:rPr>
              <w:t xml:space="preserve">N° </w:t>
            </w:r>
            <w:r w:rsidR="003352D7" w:rsidRPr="00C44BD4">
              <w:rPr>
                <w:rFonts w:asciiTheme="minorHAnsi" w:hAnsiTheme="minorHAnsi" w:cstheme="minorHAnsi"/>
                <w:b/>
                <w:bCs/>
                <w:szCs w:val="24"/>
              </w:rPr>
              <w:t>de poste</w:t>
            </w:r>
            <w:r w:rsidRPr="00C44BD4">
              <w:rPr>
                <w:rFonts w:asciiTheme="minorHAnsi" w:hAnsiTheme="minorHAnsi" w:cstheme="minorHAnsi"/>
                <w:b/>
                <w:bCs/>
                <w:szCs w:val="24"/>
              </w:rPr>
              <w:t> :</w:t>
            </w:r>
          </w:p>
        </w:tc>
        <w:tc>
          <w:tcPr>
            <w:tcW w:w="8178" w:type="dxa"/>
          </w:tcPr>
          <w:p w14:paraId="63A3204B" w14:textId="5695E2FC" w:rsidR="00A636B6" w:rsidRPr="00C44BD4" w:rsidRDefault="002215D8" w:rsidP="005B6DF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017</w:t>
            </w:r>
          </w:p>
        </w:tc>
      </w:tr>
      <w:tr w:rsidR="00B738F8" w:rsidRPr="00C44BD4" w14:paraId="39C7FD85" w14:textId="77777777" w:rsidTr="00343792">
        <w:trPr>
          <w:trHeight w:val="274"/>
        </w:trPr>
        <w:tc>
          <w:tcPr>
            <w:tcW w:w="2518" w:type="dxa"/>
          </w:tcPr>
          <w:p w14:paraId="152A1C67" w14:textId="77777777" w:rsidR="00B738F8" w:rsidRPr="00C44BD4" w:rsidRDefault="003352D7" w:rsidP="00B738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44BD4">
              <w:rPr>
                <w:rFonts w:asciiTheme="minorHAnsi" w:hAnsiTheme="minorHAnsi" w:cstheme="minorHAnsi"/>
                <w:b/>
                <w:bCs/>
                <w:szCs w:val="24"/>
              </w:rPr>
              <w:t>Section CNU :</w:t>
            </w:r>
          </w:p>
        </w:tc>
        <w:tc>
          <w:tcPr>
            <w:tcW w:w="8178" w:type="dxa"/>
          </w:tcPr>
          <w:p w14:paraId="0B904C33" w14:textId="3101AF97" w:rsidR="00B738F8" w:rsidRPr="00C44BD4" w:rsidRDefault="00B9667D" w:rsidP="007E158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11e</w:t>
            </w:r>
          </w:p>
        </w:tc>
      </w:tr>
      <w:tr w:rsidR="00B738F8" w:rsidRPr="00C44BD4" w14:paraId="7964915E" w14:textId="77777777" w:rsidTr="00343792">
        <w:trPr>
          <w:trHeight w:val="289"/>
        </w:trPr>
        <w:tc>
          <w:tcPr>
            <w:tcW w:w="2518" w:type="dxa"/>
          </w:tcPr>
          <w:p w14:paraId="4855AB9C" w14:textId="77777777" w:rsidR="00B738F8" w:rsidRPr="00C44BD4" w:rsidRDefault="003352D7" w:rsidP="00B738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44BD4">
              <w:rPr>
                <w:rFonts w:asciiTheme="minorHAnsi" w:hAnsiTheme="minorHAnsi" w:cstheme="minorHAnsi"/>
                <w:b/>
                <w:bCs/>
                <w:szCs w:val="24"/>
              </w:rPr>
              <w:t>Composante :</w:t>
            </w:r>
          </w:p>
        </w:tc>
        <w:tc>
          <w:tcPr>
            <w:tcW w:w="8178" w:type="dxa"/>
          </w:tcPr>
          <w:p w14:paraId="19A566C7" w14:textId="29974A44" w:rsidR="00B738F8" w:rsidRPr="00C44BD4" w:rsidRDefault="00B9667D" w:rsidP="007E158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UFR Lettres et Langues</w:t>
            </w:r>
          </w:p>
        </w:tc>
      </w:tr>
      <w:tr w:rsidR="00B738F8" w:rsidRPr="00C44BD4" w14:paraId="6670BFB3" w14:textId="77777777" w:rsidTr="00343792">
        <w:trPr>
          <w:trHeight w:val="274"/>
        </w:trPr>
        <w:tc>
          <w:tcPr>
            <w:tcW w:w="2518" w:type="dxa"/>
          </w:tcPr>
          <w:p w14:paraId="2229C261" w14:textId="77777777" w:rsidR="00B738F8" w:rsidRPr="00C44BD4" w:rsidRDefault="00343792" w:rsidP="00B738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44BD4">
              <w:rPr>
                <w:rFonts w:asciiTheme="minorHAnsi" w:hAnsiTheme="minorHAnsi" w:cstheme="minorHAnsi"/>
                <w:b/>
                <w:bCs/>
                <w:szCs w:val="24"/>
              </w:rPr>
              <w:t xml:space="preserve">Laboratoire : </w:t>
            </w:r>
          </w:p>
        </w:tc>
        <w:tc>
          <w:tcPr>
            <w:tcW w:w="8178" w:type="dxa"/>
          </w:tcPr>
          <w:p w14:paraId="3712C733" w14:textId="71D814CB" w:rsidR="00B738F8" w:rsidRPr="00C44BD4" w:rsidRDefault="00B9667D" w:rsidP="007E158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FoReLLIS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UR 15076</w:t>
            </w:r>
          </w:p>
        </w:tc>
      </w:tr>
      <w:tr w:rsidR="00B738F8" w:rsidRPr="00C44BD4" w14:paraId="2AB83048" w14:textId="77777777" w:rsidTr="00343792">
        <w:trPr>
          <w:trHeight w:val="274"/>
        </w:trPr>
        <w:tc>
          <w:tcPr>
            <w:tcW w:w="2518" w:type="dxa"/>
          </w:tcPr>
          <w:p w14:paraId="0E771D82" w14:textId="77777777" w:rsidR="00B738F8" w:rsidRPr="00C44BD4" w:rsidRDefault="00343792" w:rsidP="00B738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44BD4">
              <w:rPr>
                <w:rFonts w:asciiTheme="minorHAnsi" w:hAnsiTheme="minorHAnsi" w:cstheme="minorHAnsi"/>
                <w:b/>
                <w:bCs/>
                <w:szCs w:val="24"/>
              </w:rPr>
              <w:t>Profil court :</w:t>
            </w:r>
          </w:p>
        </w:tc>
        <w:tc>
          <w:tcPr>
            <w:tcW w:w="8178" w:type="dxa"/>
          </w:tcPr>
          <w:p w14:paraId="0AB3B1C9" w14:textId="2DF72EC0" w:rsidR="00B738F8" w:rsidRPr="00C44BD4" w:rsidRDefault="00B9667D" w:rsidP="007E158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Langue anglaise et littérature anglophone</w:t>
            </w:r>
          </w:p>
        </w:tc>
      </w:tr>
      <w:tr w:rsidR="00B738F8" w:rsidRPr="00C44BD4" w14:paraId="37D4BE86" w14:textId="77777777" w:rsidTr="00343792">
        <w:trPr>
          <w:trHeight w:val="228"/>
        </w:trPr>
        <w:tc>
          <w:tcPr>
            <w:tcW w:w="2518" w:type="dxa"/>
          </w:tcPr>
          <w:p w14:paraId="797170E7" w14:textId="77777777" w:rsidR="00B738F8" w:rsidRPr="00C44BD4" w:rsidRDefault="00343792" w:rsidP="00B738F8">
            <w:pPr>
              <w:rPr>
                <w:rFonts w:asciiTheme="minorHAnsi" w:hAnsiTheme="minorHAnsi" w:cstheme="minorHAnsi"/>
                <w:sz w:val="20"/>
              </w:rPr>
            </w:pPr>
            <w:r w:rsidRPr="00C44BD4">
              <w:rPr>
                <w:rFonts w:asciiTheme="minorHAnsi" w:hAnsiTheme="minorHAnsi" w:cstheme="minorHAnsi"/>
                <w:b/>
                <w:bCs/>
                <w:szCs w:val="24"/>
              </w:rPr>
              <w:t>Champs de recherche EURAXESS</w:t>
            </w:r>
            <w:r w:rsidR="00AD6BA3" w:rsidRPr="00C44BD4">
              <w:rPr>
                <w:rFonts w:asciiTheme="minorHAnsi" w:hAnsiTheme="minorHAnsi" w:cstheme="minorHAnsi"/>
                <w:b/>
                <w:bCs/>
                <w:szCs w:val="24"/>
              </w:rPr>
              <w:t> :</w:t>
            </w:r>
          </w:p>
        </w:tc>
        <w:tc>
          <w:tcPr>
            <w:tcW w:w="8178" w:type="dxa"/>
          </w:tcPr>
          <w:p w14:paraId="10055684" w14:textId="49B9CE00" w:rsidR="00B738F8" w:rsidRPr="00C44BD4" w:rsidRDefault="00EE7EE1" w:rsidP="00EE7EE1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Languages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Philology</w:t>
            </w:r>
            <w:proofErr w:type="spellEnd"/>
          </w:p>
        </w:tc>
      </w:tr>
      <w:tr w:rsidR="00B738F8" w:rsidRPr="00C44BD4" w14:paraId="2A109932" w14:textId="77777777" w:rsidTr="00B07CD6">
        <w:trPr>
          <w:trHeight w:val="1873"/>
        </w:trPr>
        <w:tc>
          <w:tcPr>
            <w:tcW w:w="10696" w:type="dxa"/>
            <w:gridSpan w:val="2"/>
          </w:tcPr>
          <w:p w14:paraId="779DF9D6" w14:textId="77777777" w:rsidR="00B55935" w:rsidRPr="00C44BD4" w:rsidRDefault="00B55935" w:rsidP="003437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2867ACF" w14:textId="77777777" w:rsidR="005D3254" w:rsidRPr="00C44BD4" w:rsidRDefault="00343792" w:rsidP="003437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44BD4">
              <w:rPr>
                <w:rFonts w:asciiTheme="minorHAnsi" w:hAnsiTheme="minorHAnsi" w:cstheme="minorHAnsi"/>
                <w:b/>
                <w:sz w:val="28"/>
                <w:szCs w:val="28"/>
              </w:rPr>
              <w:t>Informations complémentaires</w:t>
            </w:r>
          </w:p>
          <w:p w14:paraId="7C22189C" w14:textId="77777777" w:rsidR="00B55935" w:rsidRPr="00C44BD4" w:rsidRDefault="00B55935" w:rsidP="005D3254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  <w:p w14:paraId="43170878" w14:textId="77777777" w:rsidR="005D3254" w:rsidRDefault="005D3254" w:rsidP="005D3254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44BD4">
              <w:rPr>
                <w:rFonts w:asciiTheme="minorHAnsi" w:hAnsiTheme="minorHAnsi" w:cstheme="minorHAnsi"/>
                <w:b/>
                <w:szCs w:val="24"/>
                <w:u w:val="single"/>
              </w:rPr>
              <w:t>Enseignement :</w:t>
            </w:r>
          </w:p>
          <w:p w14:paraId="61A6DB89" w14:textId="77777777" w:rsidR="003B5458" w:rsidRPr="003B5458" w:rsidRDefault="003B5458" w:rsidP="003B5458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3B5458">
              <w:rPr>
                <w:rFonts w:asciiTheme="minorHAnsi" w:hAnsiTheme="minorHAnsi" w:cstheme="minorHAnsi"/>
                <w:bCs/>
                <w:szCs w:val="24"/>
              </w:rPr>
              <w:t>Le Département d’Etudes Anglophones souhaite recruter un ATER 11</w:t>
            </w:r>
            <w:r w:rsidRPr="003B5458">
              <w:rPr>
                <w:rFonts w:asciiTheme="minorHAnsi" w:hAnsiTheme="minorHAnsi" w:cstheme="minorHAnsi"/>
                <w:bCs/>
                <w:szCs w:val="24"/>
                <w:vertAlign w:val="superscript"/>
              </w:rPr>
              <w:t>e</w:t>
            </w:r>
            <w:r w:rsidRPr="003B5458">
              <w:rPr>
                <w:rFonts w:asciiTheme="minorHAnsi" w:hAnsiTheme="minorHAnsi" w:cstheme="minorHAnsi"/>
                <w:bCs/>
                <w:szCs w:val="24"/>
              </w:rPr>
              <w:t xml:space="preserve"> section pour assurer des enseignements principalement dans la filière LLCER de la L1 à la L3 :</w:t>
            </w:r>
          </w:p>
          <w:p w14:paraId="5940FED8" w14:textId="6855099C" w:rsidR="003B5458" w:rsidRPr="003B5458" w:rsidRDefault="003B5458" w:rsidP="003B5458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3B5458">
              <w:rPr>
                <w:rFonts w:asciiTheme="minorHAnsi" w:hAnsiTheme="minorHAnsi" w:cstheme="minorHAnsi"/>
                <w:bCs/>
                <w:szCs w:val="24"/>
              </w:rPr>
              <w:t>- Version et thème littéraires </w:t>
            </w:r>
          </w:p>
          <w:p w14:paraId="2D7D89C6" w14:textId="295AFFC8" w:rsidR="003B5458" w:rsidRPr="003B5458" w:rsidRDefault="003B5458" w:rsidP="003B5458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3B5458">
              <w:rPr>
                <w:rFonts w:asciiTheme="minorHAnsi" w:hAnsiTheme="minorHAnsi" w:cstheme="minorHAnsi"/>
                <w:bCs/>
                <w:szCs w:val="24"/>
              </w:rPr>
              <w:t>- Littérature.</w:t>
            </w:r>
          </w:p>
          <w:p w14:paraId="441B3A96" w14:textId="77777777" w:rsidR="003B5458" w:rsidRPr="003B5458" w:rsidRDefault="003B5458" w:rsidP="003B5458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3B5458">
              <w:rPr>
                <w:rFonts w:asciiTheme="minorHAnsi" w:hAnsiTheme="minorHAnsi" w:cstheme="minorHAnsi"/>
                <w:bCs/>
                <w:szCs w:val="24"/>
              </w:rPr>
              <w:t xml:space="preserve">Le/la collègue ATER travaillera en lien avec l’équipe pédagogique du département, en particulier dans le secteur littéraire. </w:t>
            </w:r>
          </w:p>
          <w:p w14:paraId="0C1E81E6" w14:textId="77777777" w:rsidR="005D3254" w:rsidRPr="00C44BD4" w:rsidRDefault="005D3254" w:rsidP="005D3254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  <w:p w14:paraId="0969FE38" w14:textId="77777777" w:rsidR="005D3254" w:rsidRPr="00C44BD4" w:rsidRDefault="005D3254" w:rsidP="005D3254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44BD4">
              <w:rPr>
                <w:rFonts w:asciiTheme="minorHAnsi" w:hAnsiTheme="minorHAnsi" w:cstheme="minorHAnsi"/>
                <w:b/>
                <w:szCs w:val="24"/>
                <w:u w:val="single"/>
              </w:rPr>
              <w:t>Recherche :</w:t>
            </w:r>
          </w:p>
          <w:p w14:paraId="2A66661E" w14:textId="77777777" w:rsidR="003B5458" w:rsidRPr="00093A65" w:rsidRDefault="003B5458" w:rsidP="003B5458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093A65">
              <w:rPr>
                <w:rFonts w:asciiTheme="minorHAnsi" w:hAnsiTheme="minorHAnsi" w:cstheme="minorHAnsi"/>
                <w:bCs/>
                <w:szCs w:val="24"/>
              </w:rPr>
              <w:t xml:space="preserve">L’ATER intégrera l’Equipe B (« Littérature, Image, Scène ») du laboratoire </w:t>
            </w:r>
            <w:proofErr w:type="spellStart"/>
            <w:r w:rsidRPr="00093A65">
              <w:rPr>
                <w:rFonts w:asciiTheme="minorHAnsi" w:hAnsiTheme="minorHAnsi" w:cstheme="minorHAnsi"/>
                <w:bCs/>
                <w:szCs w:val="24"/>
              </w:rPr>
              <w:t>FoReLLIS</w:t>
            </w:r>
            <w:proofErr w:type="spellEnd"/>
            <w:r w:rsidRPr="00093A65">
              <w:rPr>
                <w:rFonts w:asciiTheme="minorHAnsi" w:hAnsiTheme="minorHAnsi" w:cstheme="minorHAnsi"/>
                <w:bCs/>
                <w:szCs w:val="24"/>
              </w:rPr>
              <w:t> : https://forellis.labo.univ-poitiers.fr/</w:t>
            </w:r>
          </w:p>
          <w:p w14:paraId="35685AE6" w14:textId="77777777" w:rsidR="003B5458" w:rsidRPr="00093A65" w:rsidRDefault="003B5458" w:rsidP="003B5458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093A65">
              <w:rPr>
                <w:rFonts w:asciiTheme="minorHAnsi" w:hAnsiTheme="minorHAnsi" w:cstheme="minorHAnsi"/>
                <w:bCs/>
                <w:szCs w:val="24"/>
              </w:rPr>
              <w:t xml:space="preserve">La personne recrutée pourra travailler dans l’axe de son choix de manière à contribuer aux travaux menés en littérature anglophone et </w:t>
            </w:r>
            <w:proofErr w:type="spellStart"/>
            <w:r w:rsidRPr="00093A65">
              <w:rPr>
                <w:rFonts w:asciiTheme="minorHAnsi" w:hAnsiTheme="minorHAnsi" w:cstheme="minorHAnsi"/>
                <w:bCs/>
                <w:szCs w:val="24"/>
              </w:rPr>
              <w:t>intermédialité</w:t>
            </w:r>
            <w:proofErr w:type="spellEnd"/>
            <w:r w:rsidRPr="00093A65">
              <w:rPr>
                <w:rFonts w:asciiTheme="minorHAnsi" w:hAnsiTheme="minorHAnsi" w:cstheme="minorHAnsi"/>
                <w:bCs/>
                <w:szCs w:val="24"/>
              </w:rPr>
              <w:t xml:space="preserve"> dans une perspective interdisciplinaire.</w:t>
            </w:r>
          </w:p>
          <w:p w14:paraId="39F2937B" w14:textId="77777777" w:rsidR="00B738F8" w:rsidRPr="00C44BD4" w:rsidRDefault="00B738F8" w:rsidP="003C48C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9D1DFE4" w14:textId="77777777" w:rsidR="00B738F8" w:rsidRPr="00C44BD4" w:rsidRDefault="00B738F8" w:rsidP="003352D7">
      <w:pPr>
        <w:rPr>
          <w:rFonts w:asciiTheme="minorHAnsi" w:hAnsiTheme="minorHAnsi" w:cstheme="minorHAnsi"/>
          <w:sz w:val="20"/>
        </w:rPr>
      </w:pPr>
    </w:p>
    <w:p w14:paraId="638707AA" w14:textId="77777777" w:rsidR="00545CF6" w:rsidRPr="00C44BD4" w:rsidRDefault="00545CF6" w:rsidP="00430A36">
      <w:pPr>
        <w:rPr>
          <w:rFonts w:asciiTheme="minorHAnsi" w:hAnsiTheme="minorHAnsi" w:cstheme="minorHAnsi"/>
          <w:b/>
          <w:bCs/>
          <w:sz w:val="18"/>
          <w:szCs w:val="18"/>
        </w:rPr>
        <w:sectPr w:rsidR="00545CF6" w:rsidRPr="00C44BD4" w:rsidSect="00430A36">
          <w:footerReference w:type="even" r:id="rId8"/>
          <w:footerReference w:type="default" r:id="rId9"/>
          <w:pgSz w:w="11906" w:h="16838" w:code="9"/>
          <w:pgMar w:top="357" w:right="1418" w:bottom="357" w:left="720" w:header="709" w:footer="709" w:gutter="0"/>
          <w:cols w:space="709"/>
          <w:docGrid w:linePitch="360"/>
        </w:sectPr>
      </w:pPr>
    </w:p>
    <w:tbl>
      <w:tblPr>
        <w:tblStyle w:val="Grilledutableau"/>
        <w:tblW w:w="107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567" w:type="dxa"/>
          <w:right w:w="567" w:type="dxa"/>
        </w:tblCellMar>
        <w:tblLook w:val="04A0" w:firstRow="1" w:lastRow="0" w:firstColumn="1" w:lastColumn="0" w:noHBand="0" w:noVBand="1"/>
      </w:tblPr>
      <w:tblGrid>
        <w:gridCol w:w="10772"/>
      </w:tblGrid>
      <w:tr w:rsidR="00343792" w:rsidRPr="00C44BD4" w14:paraId="42CA297D" w14:textId="77777777" w:rsidTr="00682E8D">
        <w:trPr>
          <w:trHeight w:val="487"/>
          <w:jc w:val="center"/>
        </w:trPr>
        <w:tc>
          <w:tcPr>
            <w:tcW w:w="107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3DFCCB" w14:textId="51B77F9A" w:rsidR="00343792" w:rsidRDefault="00343792" w:rsidP="003B5458">
            <w:pPr>
              <w:spacing w:before="100" w:beforeAutospacing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7A70600" w14:textId="77777777" w:rsidR="00253215" w:rsidRPr="00D04425" w:rsidRDefault="00253215" w:rsidP="00801DBA">
            <w:pPr>
              <w:spacing w:before="100" w:beforeAutospacing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B17D123" w14:textId="77777777" w:rsidR="00B55935" w:rsidRPr="009A6A26" w:rsidRDefault="004D763F" w:rsidP="002532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A6A26">
              <w:rPr>
                <w:rFonts w:asciiTheme="minorHAnsi" w:hAnsiTheme="minorHAnsi" w:cstheme="minorHAnsi"/>
                <w:b/>
                <w:sz w:val="28"/>
                <w:szCs w:val="28"/>
              </w:rPr>
              <w:t>MODALITÉS DE GESTION DES CANDIDATURES ET DE RECRUTEMENT</w:t>
            </w:r>
          </w:p>
          <w:p w14:paraId="1BBEF9F1" w14:textId="31FB08A7" w:rsidR="004D763F" w:rsidRPr="009A6A26" w:rsidRDefault="004D763F" w:rsidP="002532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A6A26">
              <w:rPr>
                <w:rFonts w:asciiTheme="minorHAnsi" w:hAnsiTheme="minorHAnsi" w:cstheme="minorHAnsi"/>
                <w:b/>
                <w:sz w:val="28"/>
                <w:szCs w:val="28"/>
              </w:rPr>
              <w:t>ATTACHÉS TEMPORAIRES D’ENSEIGNEMENT ET DE RECHERCHE</w:t>
            </w:r>
          </w:p>
          <w:p w14:paraId="08875E4F" w14:textId="35061A0D" w:rsidR="004D763F" w:rsidRPr="009A6A26" w:rsidRDefault="004D763F" w:rsidP="002532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A6A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ANNEE UNIVERSITAIRE 2025</w:t>
            </w:r>
            <w:r w:rsidR="0023655B" w:rsidRPr="009A6A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  <w:r w:rsidRPr="009A6A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2026</w:t>
            </w:r>
          </w:p>
          <w:p w14:paraId="4C39A250" w14:textId="77777777" w:rsidR="00B55935" w:rsidRPr="00C44BD4" w:rsidRDefault="00B55935" w:rsidP="003B5458">
            <w:pPr>
              <w:pStyle w:val="NormalWeb"/>
              <w:spacing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4B7F2" w14:textId="77777777" w:rsidR="004D763F" w:rsidRPr="00C44BD4" w:rsidRDefault="004D763F" w:rsidP="00801DBA">
            <w:pPr>
              <w:pStyle w:val="NormalWeb"/>
              <w:spacing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BD4">
              <w:rPr>
                <w:rFonts w:asciiTheme="minorHAnsi" w:hAnsiTheme="minorHAnsi" w:cstheme="minorHAnsi"/>
                <w:sz w:val="22"/>
                <w:szCs w:val="22"/>
              </w:rPr>
              <w:t>L'université de Poitiers organise une campagne de recrutement d’ATER complémentaire, sur profil, pour des contrats à temps plein débutant au plus tôt le 1</w:t>
            </w:r>
            <w:r w:rsidRPr="00C44B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 w:rsidRPr="00C44BD4">
              <w:rPr>
                <w:rFonts w:asciiTheme="minorHAnsi" w:hAnsiTheme="minorHAnsi" w:cstheme="minorHAnsi"/>
                <w:sz w:val="22"/>
                <w:szCs w:val="22"/>
              </w:rPr>
              <w:t xml:space="preserve"> octobre 2025.</w:t>
            </w:r>
          </w:p>
          <w:p w14:paraId="67E1936E" w14:textId="3586DB09" w:rsidR="00B55935" w:rsidRPr="00C44BD4" w:rsidRDefault="004D763F" w:rsidP="00801DBA">
            <w:pPr>
              <w:pStyle w:val="NormalWeb"/>
              <w:spacing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BD4">
              <w:rPr>
                <w:rFonts w:asciiTheme="minorHAnsi" w:hAnsiTheme="minorHAnsi" w:cstheme="minorHAnsi"/>
                <w:sz w:val="22"/>
                <w:szCs w:val="22"/>
              </w:rPr>
              <w:t xml:space="preserve">L’appel à candidatures a lieu du </w:t>
            </w:r>
            <w:bookmarkStart w:id="0" w:name="_Hlk167808019"/>
            <w:r w:rsidR="008A5F51" w:rsidRPr="008A5F5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9</w:t>
            </w:r>
            <w:r w:rsidRPr="008A5F5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a</w:t>
            </w:r>
            <w:r w:rsidRPr="00C44BD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u </w:t>
            </w:r>
            <w:r w:rsidR="008A5F5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2</w:t>
            </w:r>
            <w:r w:rsidR="00174A6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3</w:t>
            </w:r>
            <w:r w:rsidRPr="00C44BD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juillet </w:t>
            </w:r>
            <w:bookmarkEnd w:id="0"/>
            <w:r w:rsidRPr="00C44BD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2025 </w:t>
            </w:r>
            <w:r w:rsidRPr="00C44BD4">
              <w:rPr>
                <w:rFonts w:asciiTheme="minorHAnsi" w:hAnsiTheme="minorHAnsi" w:cstheme="minorHAnsi"/>
                <w:sz w:val="22"/>
                <w:szCs w:val="22"/>
              </w:rPr>
              <w:t xml:space="preserve">via l’application ministérielle Galaxie. </w:t>
            </w:r>
          </w:p>
          <w:p w14:paraId="53E1DEF7" w14:textId="77777777" w:rsidR="00475715" w:rsidRPr="00C44BD4" w:rsidRDefault="00475715" w:rsidP="00801DBA">
            <w:pPr>
              <w:pStyle w:val="NormalWeb"/>
              <w:spacing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39B2D" w14:textId="77777777" w:rsidR="004D763F" w:rsidRPr="00C44BD4" w:rsidRDefault="004D763F" w:rsidP="00801DBA">
            <w:pPr>
              <w:pBdr>
                <w:bottom w:val="single" w:sz="4" w:space="0" w:color="auto"/>
              </w:pBdr>
              <w:spacing w:before="100" w:beforeAutospacing="1"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44BD4">
              <w:rPr>
                <w:rFonts w:asciiTheme="minorHAnsi" w:hAnsiTheme="minorHAnsi" w:cstheme="minorHAnsi"/>
                <w:b/>
                <w:bCs/>
              </w:rPr>
              <w:t>Modalités d’inscription et de dépôt des dossiers de candidatures</w:t>
            </w:r>
          </w:p>
          <w:p w14:paraId="25D4C0FA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DFBF010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4BD4">
              <w:rPr>
                <w:rFonts w:asciiTheme="minorHAnsi" w:hAnsiTheme="minorHAnsi" w:cstheme="minorHAnsi"/>
              </w:rPr>
              <w:t xml:space="preserve">La liste des pièces justificatives à fournir et documents nécessaires à la constitution du dossier sont disponibles sur le site de l’université : </w:t>
            </w:r>
          </w:p>
          <w:p w14:paraId="75358D52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27B7834" w14:textId="1E79A92B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44BD4">
              <w:rPr>
                <w:rFonts w:asciiTheme="minorHAnsi" w:hAnsiTheme="minorHAnsi" w:cstheme="minorHAnsi"/>
                <w:b/>
                <w:bCs/>
              </w:rPr>
              <w:t xml:space="preserve">1/ </w:t>
            </w:r>
            <w:r w:rsidRPr="00C44BD4">
              <w:rPr>
                <w:rFonts w:asciiTheme="minorHAnsi" w:hAnsiTheme="minorHAnsi" w:cstheme="minorHAnsi"/>
                <w:b/>
                <w:bCs/>
                <w:u w:val="single"/>
              </w:rPr>
              <w:t xml:space="preserve">Enregistrement de votre candidature sur le portail Galaxie / Altaïr entre le </w:t>
            </w:r>
            <w:r w:rsidR="008A5F51">
              <w:rPr>
                <w:rFonts w:asciiTheme="minorHAnsi" w:hAnsiTheme="minorHAnsi" w:cstheme="minorHAnsi"/>
                <w:b/>
                <w:bCs/>
                <w:u w:val="single"/>
              </w:rPr>
              <w:t>09 au 23</w:t>
            </w:r>
            <w:r w:rsidRPr="00C44BD4">
              <w:rPr>
                <w:rFonts w:asciiTheme="minorHAnsi" w:hAnsiTheme="minorHAnsi" w:cstheme="minorHAnsi"/>
                <w:b/>
                <w:bCs/>
                <w:u w:val="single"/>
              </w:rPr>
              <w:t xml:space="preserve"> juillet 2025 à 16h :</w:t>
            </w:r>
          </w:p>
          <w:p w14:paraId="75BF2EA4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26D3BEB" w14:textId="77777777" w:rsidR="004D763F" w:rsidRPr="00C44BD4" w:rsidRDefault="00B80D3E" w:rsidP="00801DB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10" w:history="1">
              <w:r w:rsidR="004D763F" w:rsidRPr="00C44BD4">
                <w:rPr>
                  <w:rStyle w:val="Lienhypertexte"/>
                  <w:rFonts w:asciiTheme="minorHAnsi" w:hAnsiTheme="minorHAnsi" w:cstheme="minorHAnsi"/>
                </w:rPr>
                <w:t>https://galaxie.enseignementsup-recherche.gouv.fr/antares/can/astree/index.jsp</w:t>
              </w:r>
            </w:hyperlink>
          </w:p>
          <w:p w14:paraId="73A08767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4BD4">
              <w:rPr>
                <w:rFonts w:asciiTheme="minorHAnsi" w:hAnsiTheme="minorHAnsi" w:cstheme="minorHAnsi"/>
              </w:rPr>
              <w:br/>
              <w:t xml:space="preserve">Suite à votre inscription sur le portail Galaxie, vos identifiant et mot de passe vont être générés et envoyés dans </w:t>
            </w:r>
            <w:proofErr w:type="gramStart"/>
            <w:r w:rsidRPr="00C44BD4">
              <w:rPr>
                <w:rFonts w:asciiTheme="minorHAnsi" w:hAnsiTheme="minorHAnsi" w:cstheme="minorHAnsi"/>
              </w:rPr>
              <w:t>un délai de 2 jours ouvrés</w:t>
            </w:r>
            <w:proofErr w:type="gramEnd"/>
            <w:r w:rsidRPr="00C44BD4">
              <w:rPr>
                <w:rFonts w:asciiTheme="minorHAnsi" w:hAnsiTheme="minorHAnsi" w:cstheme="minorHAnsi"/>
              </w:rPr>
              <w:t xml:space="preserve"> après votre inscription, à l'adresse e-mail indiquée sur Galaxie.</w:t>
            </w:r>
          </w:p>
          <w:p w14:paraId="70775CDF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E32CAED" w14:textId="6F130AF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44BD4">
              <w:rPr>
                <w:rFonts w:asciiTheme="minorHAnsi" w:hAnsiTheme="minorHAnsi" w:cstheme="minorHAnsi"/>
                <w:b/>
                <w:bCs/>
                <w:u w:val="single"/>
              </w:rPr>
              <w:t xml:space="preserve">2/ </w:t>
            </w:r>
            <w:r w:rsidRPr="00C44BD4">
              <w:rPr>
                <w:rFonts w:asciiTheme="minorHAnsi" w:hAnsiTheme="minorHAnsi" w:cstheme="minorHAnsi"/>
                <w:b/>
                <w:u w:val="single"/>
              </w:rPr>
              <w:t>Dépôt des dossiers de candidatures</w:t>
            </w:r>
            <w:r w:rsidRPr="00C44BD4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44BD4">
              <w:rPr>
                <w:rFonts w:asciiTheme="minorHAnsi" w:hAnsiTheme="minorHAnsi" w:cstheme="minorHAnsi"/>
                <w:b/>
                <w:bCs/>
                <w:u w:val="single"/>
              </w:rPr>
              <w:t>sur l'application ESUP</w:t>
            </w:r>
            <w:r w:rsidRPr="00C44BD4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44BD4">
              <w:rPr>
                <w:rFonts w:asciiTheme="minorHAnsi" w:hAnsiTheme="minorHAnsi" w:cstheme="minorHAnsi"/>
                <w:b/>
                <w:bCs/>
                <w:u w:val="single"/>
              </w:rPr>
              <w:t xml:space="preserve">jusqu’au </w:t>
            </w:r>
            <w:r w:rsidR="008A5F51">
              <w:rPr>
                <w:rFonts w:asciiTheme="minorHAnsi" w:hAnsiTheme="minorHAnsi" w:cstheme="minorHAnsi"/>
                <w:b/>
                <w:bCs/>
                <w:u w:val="single"/>
              </w:rPr>
              <w:t>23</w:t>
            </w:r>
            <w:r w:rsidRPr="00C44BD4">
              <w:rPr>
                <w:rFonts w:asciiTheme="minorHAnsi" w:hAnsiTheme="minorHAnsi" w:cstheme="minorHAnsi"/>
                <w:b/>
                <w:bCs/>
                <w:u w:val="single"/>
              </w:rPr>
              <w:t xml:space="preserve"> juillet 2025 à 17h :</w:t>
            </w:r>
          </w:p>
          <w:p w14:paraId="6D9FBFEF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4932BDD" w14:textId="77777777" w:rsidR="004D763F" w:rsidRPr="00C44BD4" w:rsidRDefault="00B80D3E" w:rsidP="00801DB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="004D763F" w:rsidRPr="00C44BD4">
                <w:rPr>
                  <w:rStyle w:val="Lienhypertexte"/>
                  <w:rFonts w:asciiTheme="minorHAnsi" w:hAnsiTheme="minorHAnsi" w:cstheme="minorHAnsi"/>
                </w:rPr>
                <w:t>https://recrutement-ater2.appli.univ-poitiers.fr/EsupDematEC/login</w:t>
              </w:r>
            </w:hyperlink>
          </w:p>
          <w:p w14:paraId="3D067076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B153B08" w14:textId="77777777" w:rsidR="004D763F" w:rsidRPr="00C44BD4" w:rsidRDefault="004D763F" w:rsidP="00801DBA">
            <w:pPr>
              <w:pBdr>
                <w:bottom w:val="single" w:sz="4" w:space="1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44BD4">
              <w:rPr>
                <w:rFonts w:asciiTheme="minorHAnsi" w:hAnsiTheme="minorHAnsi" w:cstheme="minorHAnsi"/>
                <w:b/>
                <w:bCs/>
              </w:rPr>
              <w:t>IMPORTANT :</w:t>
            </w:r>
          </w:p>
          <w:p w14:paraId="3886656B" w14:textId="77777777" w:rsidR="004D763F" w:rsidRPr="00C44BD4" w:rsidRDefault="004D763F" w:rsidP="00801DBA">
            <w:pPr>
              <w:spacing w:line="276" w:lineRule="auto"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  <w:p w14:paraId="16ED869A" w14:textId="5BE1D775" w:rsidR="004D763F" w:rsidRPr="00C44BD4" w:rsidRDefault="004D763F" w:rsidP="00801DBA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44BD4">
              <w:rPr>
                <w:rFonts w:asciiTheme="minorHAnsi" w:hAnsiTheme="minorHAnsi" w:cstheme="minorHAnsi"/>
                <w:b/>
                <w:bCs/>
              </w:rPr>
              <w:t xml:space="preserve">Un accusé de réception sera transmis </w:t>
            </w:r>
            <w:r w:rsidR="008A5F51">
              <w:rPr>
                <w:rFonts w:asciiTheme="minorHAnsi" w:hAnsiTheme="minorHAnsi" w:cstheme="minorHAnsi"/>
                <w:b/>
                <w:bCs/>
              </w:rPr>
              <w:t>le 25 juillet</w:t>
            </w:r>
            <w:r w:rsidRPr="00C44BD4">
              <w:rPr>
                <w:rFonts w:asciiTheme="minorHAnsi" w:hAnsiTheme="minorHAnsi" w:cstheme="minorHAnsi"/>
                <w:b/>
                <w:bCs/>
              </w:rPr>
              <w:t xml:space="preserve"> 2025 via Galaxie, aux candidats ayant déposé un ou plusieurs fichiers sur ESUP. Cet accusé ne présume pas de la recevabilité administrative de la candidature.  </w:t>
            </w:r>
          </w:p>
          <w:p w14:paraId="3151756C" w14:textId="77777777" w:rsidR="004D763F" w:rsidRPr="00C44BD4" w:rsidRDefault="004D763F" w:rsidP="00801DBA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44BD4">
              <w:rPr>
                <w:rFonts w:asciiTheme="minorHAnsi" w:hAnsiTheme="minorHAnsi" w:cstheme="minorHAnsi"/>
                <w:b/>
                <w:bCs/>
              </w:rPr>
              <w:t xml:space="preserve">Le contrôle de la recevabilité administrative des dossiers de candidature ne sera effectué qu’en fin de processus de sélection, </w:t>
            </w:r>
            <w:r w:rsidRPr="00C44BD4">
              <w:rPr>
                <w:rFonts w:asciiTheme="minorHAnsi" w:hAnsiTheme="minorHAnsi" w:cstheme="minorHAnsi"/>
                <w:b/>
                <w:bCs/>
                <w:u w:val="single"/>
              </w:rPr>
              <w:t>uniquement pour les candidats retenus</w:t>
            </w:r>
            <w:r w:rsidRPr="00C44BD4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1D1281E9" w14:textId="77777777" w:rsidR="004D763F" w:rsidRPr="00C44BD4" w:rsidRDefault="004D763F" w:rsidP="00801DBA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44BD4">
              <w:rPr>
                <w:rFonts w:asciiTheme="minorHAnsi" w:hAnsiTheme="minorHAnsi" w:cstheme="minorHAnsi"/>
                <w:b/>
                <w:bCs/>
              </w:rPr>
              <w:t>Seul le dépôt de candidature au sein de l’application ESUP est accepté. Les dossiers de candidature envoyés selon un autre mode de transmission ne seront pas pris en compte.</w:t>
            </w:r>
          </w:p>
          <w:p w14:paraId="6A0E7AAB" w14:textId="77777777" w:rsidR="004D763F" w:rsidRPr="00C44BD4" w:rsidRDefault="004D763F" w:rsidP="00801DBA">
            <w:pPr>
              <w:pStyle w:val="Paragraphedeliste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C44BD4">
              <w:rPr>
                <w:rFonts w:asciiTheme="minorHAnsi" w:hAnsiTheme="minorHAnsi" w:cstheme="minorHAnsi"/>
                <w:b/>
                <w:bCs/>
                <w:lang w:eastAsia="fr-FR"/>
              </w:rPr>
              <w:t>Les fichiers numériques devront être obligatoirement au format PDF et contenir toutes les pièces exigées par la réglementation en vigueur.</w:t>
            </w:r>
          </w:p>
          <w:p w14:paraId="4884E6B6" w14:textId="77777777" w:rsidR="004D763F" w:rsidRPr="00C44BD4" w:rsidRDefault="004D763F" w:rsidP="00801DBA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44BD4">
              <w:rPr>
                <w:rFonts w:asciiTheme="minorHAnsi" w:hAnsiTheme="minorHAnsi" w:cstheme="minorHAnsi"/>
                <w:b/>
                <w:bCs/>
              </w:rPr>
              <w:t>Il est vivement recommandé de ne pas attendre les derniers jours pour effectuer le dépôt du dossier.</w:t>
            </w:r>
          </w:p>
          <w:p w14:paraId="2D939FDF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368F9FE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D4B3FCB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4BD4">
              <w:rPr>
                <w:rFonts w:asciiTheme="minorHAnsi" w:hAnsiTheme="minorHAnsi" w:cstheme="minorHAnsi"/>
              </w:rPr>
              <w:t xml:space="preserve">Toutes les informations relatives à la procédure de recrutement ainsi que les documents suivants sont disponibles sur le site de l’université : </w:t>
            </w:r>
          </w:p>
          <w:p w14:paraId="0ADB2345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3E4BD59" w14:textId="77777777" w:rsidR="004D763F" w:rsidRPr="00C44BD4" w:rsidRDefault="00B80D3E" w:rsidP="00801DB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4D763F" w:rsidRPr="00C44BD4">
                <w:rPr>
                  <w:rStyle w:val="Lienhypertexte"/>
                  <w:rFonts w:asciiTheme="minorHAnsi" w:hAnsiTheme="minorHAnsi" w:cstheme="minorHAnsi"/>
                </w:rPr>
                <w:t>https://www.univ-poitiers.fr/choisir-luniversite/recrutement/recrutement-personnels-enseignants/</w:t>
              </w:r>
            </w:hyperlink>
          </w:p>
          <w:p w14:paraId="4940CA69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5A1F822" w14:textId="77777777" w:rsidR="004D763F" w:rsidRPr="00C44BD4" w:rsidRDefault="004D763F" w:rsidP="00801DBA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lang w:eastAsia="fr-FR"/>
              </w:rPr>
            </w:pPr>
            <w:r w:rsidRPr="00C44BD4">
              <w:rPr>
                <w:rFonts w:asciiTheme="minorHAnsi" w:hAnsiTheme="minorHAnsi" w:cstheme="minorHAnsi"/>
                <w:lang w:eastAsia="fr-FR"/>
              </w:rPr>
              <w:t>Liste des pièces justificatives</w:t>
            </w:r>
          </w:p>
          <w:p w14:paraId="41B90FF6" w14:textId="77777777" w:rsidR="004D763F" w:rsidRPr="00C44BD4" w:rsidRDefault="00B80D3E" w:rsidP="00801DBA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lang w:eastAsia="fr-FR"/>
              </w:rPr>
            </w:pPr>
            <w:hyperlink r:id="rId13" w:history="1">
              <w:r w:rsidR="004D763F" w:rsidRPr="00C44BD4">
                <w:rPr>
                  <w:rFonts w:asciiTheme="minorHAnsi" w:hAnsiTheme="minorHAnsi" w:cstheme="minorHAnsi"/>
                  <w:lang w:eastAsia="fr-FR"/>
                </w:rPr>
                <w:t>Déclaration sur l'honneur</w:t>
              </w:r>
            </w:hyperlink>
            <w:r w:rsidR="004D763F" w:rsidRPr="00C44BD4">
              <w:rPr>
                <w:rFonts w:asciiTheme="minorHAnsi" w:hAnsiTheme="minorHAnsi" w:cstheme="minorHAnsi"/>
                <w:lang w:eastAsia="fr-FR"/>
              </w:rPr>
              <w:t xml:space="preserve"> </w:t>
            </w:r>
          </w:p>
          <w:p w14:paraId="73A62183" w14:textId="77777777" w:rsidR="004D763F" w:rsidRPr="00C44BD4" w:rsidRDefault="00B80D3E" w:rsidP="00801DBA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lang w:eastAsia="fr-FR"/>
              </w:rPr>
            </w:pPr>
            <w:hyperlink r:id="rId14" w:history="1">
              <w:r w:rsidR="004D763F" w:rsidRPr="00C44BD4">
                <w:rPr>
                  <w:rFonts w:asciiTheme="minorHAnsi" w:hAnsiTheme="minorHAnsi" w:cstheme="minorHAnsi"/>
                  <w:lang w:eastAsia="fr-FR"/>
                </w:rPr>
                <w:t>Attestation directeur de thèse</w:t>
              </w:r>
            </w:hyperlink>
            <w:r w:rsidR="004D763F" w:rsidRPr="00C44BD4">
              <w:rPr>
                <w:rFonts w:asciiTheme="minorHAnsi" w:hAnsiTheme="minorHAnsi" w:cstheme="minorHAnsi"/>
                <w:lang w:eastAsia="fr-FR"/>
              </w:rPr>
              <w:t xml:space="preserve"> </w:t>
            </w:r>
          </w:p>
          <w:p w14:paraId="476093ED" w14:textId="77777777" w:rsidR="004D763F" w:rsidRPr="00C44BD4" w:rsidRDefault="00B80D3E" w:rsidP="00801DBA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lang w:eastAsia="fr-FR"/>
              </w:rPr>
            </w:pPr>
            <w:hyperlink r:id="rId15" w:history="1">
              <w:r w:rsidR="004D763F" w:rsidRPr="00C44BD4">
                <w:rPr>
                  <w:rFonts w:asciiTheme="minorHAnsi" w:hAnsiTheme="minorHAnsi" w:cstheme="minorHAnsi"/>
                  <w:lang w:eastAsia="fr-FR"/>
                </w:rPr>
                <w:t>Engagement à se présenter à un concours</w:t>
              </w:r>
            </w:hyperlink>
            <w:r w:rsidR="004D763F" w:rsidRPr="00C44BD4">
              <w:rPr>
                <w:rFonts w:asciiTheme="minorHAnsi" w:hAnsiTheme="minorHAnsi" w:cstheme="minorHAnsi"/>
                <w:lang w:eastAsia="fr-FR"/>
              </w:rPr>
              <w:t xml:space="preserve"> </w:t>
            </w:r>
          </w:p>
          <w:p w14:paraId="5F17D652" w14:textId="77777777" w:rsidR="004D763F" w:rsidRPr="00C44BD4" w:rsidRDefault="00B80D3E" w:rsidP="00801DBA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lang w:eastAsia="fr-FR"/>
              </w:rPr>
            </w:pPr>
            <w:hyperlink r:id="rId16" w:history="1">
              <w:r w:rsidR="004D763F" w:rsidRPr="00C44BD4">
                <w:rPr>
                  <w:rFonts w:asciiTheme="minorHAnsi" w:hAnsiTheme="minorHAnsi" w:cstheme="minorHAnsi"/>
                  <w:lang w:eastAsia="fr-FR"/>
                </w:rPr>
                <w:t>Tutoriel application ESUP</w:t>
              </w:r>
            </w:hyperlink>
          </w:p>
          <w:p w14:paraId="1AC353F3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2784354" w14:textId="77777777" w:rsidR="004D763F" w:rsidRPr="00C44BD4" w:rsidRDefault="004D763F" w:rsidP="00801DB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4BD4">
              <w:rPr>
                <w:rFonts w:asciiTheme="minorHAnsi" w:hAnsiTheme="minorHAnsi" w:cstheme="minorHAnsi"/>
                <w:b/>
              </w:rPr>
              <w:lastRenderedPageBreak/>
              <w:t xml:space="preserve">CONTACT : </w:t>
            </w:r>
            <w:hyperlink r:id="rId17" w:history="1">
              <w:r w:rsidRPr="00C44BD4">
                <w:rPr>
                  <w:rStyle w:val="Lienhypertexte"/>
                  <w:rFonts w:asciiTheme="minorHAnsi" w:hAnsiTheme="minorHAnsi" w:cstheme="minorHAnsi"/>
                </w:rPr>
                <w:t>recrutement-ater@univ-poitiers.fr</w:t>
              </w:r>
            </w:hyperlink>
          </w:p>
          <w:p w14:paraId="6ABBD43D" w14:textId="77777777" w:rsidR="00343792" w:rsidRPr="00C44BD4" w:rsidRDefault="00343792" w:rsidP="00801DBA">
            <w:pPr>
              <w:spacing w:before="100" w:before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D7B0263" w14:textId="77777777" w:rsidR="00C44BD4" w:rsidRPr="009929BC" w:rsidRDefault="00C44BD4" w:rsidP="00B9667D">
      <w:pPr>
        <w:rPr>
          <w:rFonts w:asciiTheme="minorHAnsi" w:hAnsiTheme="minorHAnsi" w:cstheme="minorHAnsi"/>
          <w:lang w:val="en-US"/>
        </w:rPr>
      </w:pPr>
    </w:p>
    <w:sectPr w:rsidR="00C44BD4" w:rsidRPr="009929BC" w:rsidSect="00430A36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E449" w14:textId="77777777" w:rsidR="00D772C0" w:rsidRDefault="00D772C0">
      <w:r>
        <w:separator/>
      </w:r>
    </w:p>
  </w:endnote>
  <w:endnote w:type="continuationSeparator" w:id="0">
    <w:p w14:paraId="57DA5714" w14:textId="77777777" w:rsidR="00D772C0" w:rsidRDefault="00D7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7DFE" w14:textId="77777777" w:rsidR="00C31B5A" w:rsidRDefault="00C31B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DA288D" w14:textId="77777777" w:rsidR="00C31B5A" w:rsidRDefault="00C31B5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4FD0" w14:textId="77777777" w:rsidR="00C31B5A" w:rsidRDefault="00C31B5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B12C" w14:textId="77777777" w:rsidR="00D772C0" w:rsidRDefault="00D772C0">
      <w:r>
        <w:separator/>
      </w:r>
    </w:p>
  </w:footnote>
  <w:footnote w:type="continuationSeparator" w:id="0">
    <w:p w14:paraId="00ACB994" w14:textId="77777777" w:rsidR="00D772C0" w:rsidRDefault="00D7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EC4"/>
    <w:multiLevelType w:val="hybridMultilevel"/>
    <w:tmpl w:val="7B6EA50E"/>
    <w:lvl w:ilvl="0" w:tplc="2750B5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C3A"/>
    <w:multiLevelType w:val="hybridMultilevel"/>
    <w:tmpl w:val="5A8E5AA8"/>
    <w:lvl w:ilvl="0" w:tplc="AAAC0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63E7"/>
    <w:multiLevelType w:val="hybridMultilevel"/>
    <w:tmpl w:val="EE60797E"/>
    <w:lvl w:ilvl="0" w:tplc="8B8CF552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543F7"/>
    <w:multiLevelType w:val="hybridMultilevel"/>
    <w:tmpl w:val="FD94B47E"/>
    <w:lvl w:ilvl="0" w:tplc="AF889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5D26"/>
    <w:multiLevelType w:val="singleLevel"/>
    <w:tmpl w:val="BBEE085A"/>
    <w:lvl w:ilvl="0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5" w15:restartNumberingAfterBreak="0">
    <w:nsid w:val="7980718B"/>
    <w:multiLevelType w:val="hybridMultilevel"/>
    <w:tmpl w:val="EF2C03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3E"/>
    <w:rsid w:val="00004958"/>
    <w:rsid w:val="00011BE6"/>
    <w:rsid w:val="000126C6"/>
    <w:rsid w:val="00033132"/>
    <w:rsid w:val="00035AC5"/>
    <w:rsid w:val="00035FB4"/>
    <w:rsid w:val="0003658B"/>
    <w:rsid w:val="00036E62"/>
    <w:rsid w:val="00080AD2"/>
    <w:rsid w:val="000839F7"/>
    <w:rsid w:val="00093A65"/>
    <w:rsid w:val="00094643"/>
    <w:rsid w:val="000A5AE3"/>
    <w:rsid w:val="000B4A15"/>
    <w:rsid w:val="001077B2"/>
    <w:rsid w:val="00141B68"/>
    <w:rsid w:val="001448CE"/>
    <w:rsid w:val="001457FA"/>
    <w:rsid w:val="00165D3B"/>
    <w:rsid w:val="00174A62"/>
    <w:rsid w:val="001C4483"/>
    <w:rsid w:val="001C48C3"/>
    <w:rsid w:val="001C514F"/>
    <w:rsid w:val="00206BBB"/>
    <w:rsid w:val="00215288"/>
    <w:rsid w:val="002215D8"/>
    <w:rsid w:val="00230D0A"/>
    <w:rsid w:val="002323BE"/>
    <w:rsid w:val="0023655B"/>
    <w:rsid w:val="00241A6A"/>
    <w:rsid w:val="00245389"/>
    <w:rsid w:val="00253215"/>
    <w:rsid w:val="002534C2"/>
    <w:rsid w:val="00261B1D"/>
    <w:rsid w:val="0027069E"/>
    <w:rsid w:val="00286B9F"/>
    <w:rsid w:val="002A4302"/>
    <w:rsid w:val="002A574A"/>
    <w:rsid w:val="002B31C9"/>
    <w:rsid w:val="002D0D18"/>
    <w:rsid w:val="002F1866"/>
    <w:rsid w:val="002F18CC"/>
    <w:rsid w:val="003249AD"/>
    <w:rsid w:val="00330CA5"/>
    <w:rsid w:val="003352D7"/>
    <w:rsid w:val="00343792"/>
    <w:rsid w:val="0034541B"/>
    <w:rsid w:val="00361EAC"/>
    <w:rsid w:val="0036730E"/>
    <w:rsid w:val="003674ED"/>
    <w:rsid w:val="00375978"/>
    <w:rsid w:val="00380D26"/>
    <w:rsid w:val="00382F89"/>
    <w:rsid w:val="003A0C26"/>
    <w:rsid w:val="003B5458"/>
    <w:rsid w:val="003C48C1"/>
    <w:rsid w:val="003D2976"/>
    <w:rsid w:val="003F2207"/>
    <w:rsid w:val="003F42A0"/>
    <w:rsid w:val="0040052A"/>
    <w:rsid w:val="00430A36"/>
    <w:rsid w:val="00442420"/>
    <w:rsid w:val="004622A3"/>
    <w:rsid w:val="00465E67"/>
    <w:rsid w:val="004714F3"/>
    <w:rsid w:val="00471684"/>
    <w:rsid w:val="00475715"/>
    <w:rsid w:val="00491A96"/>
    <w:rsid w:val="00494317"/>
    <w:rsid w:val="004A03C6"/>
    <w:rsid w:val="004A07CF"/>
    <w:rsid w:val="004A3339"/>
    <w:rsid w:val="004A4921"/>
    <w:rsid w:val="004B138B"/>
    <w:rsid w:val="004B2BBA"/>
    <w:rsid w:val="004B2D31"/>
    <w:rsid w:val="004B45D1"/>
    <w:rsid w:val="004C094F"/>
    <w:rsid w:val="004C3E05"/>
    <w:rsid w:val="004D763F"/>
    <w:rsid w:val="004E0C3C"/>
    <w:rsid w:val="004E2D8A"/>
    <w:rsid w:val="004E4EC1"/>
    <w:rsid w:val="004F66F2"/>
    <w:rsid w:val="005212BF"/>
    <w:rsid w:val="00523C22"/>
    <w:rsid w:val="00536AF8"/>
    <w:rsid w:val="00545CF6"/>
    <w:rsid w:val="0055360B"/>
    <w:rsid w:val="00564C80"/>
    <w:rsid w:val="00565079"/>
    <w:rsid w:val="00572D19"/>
    <w:rsid w:val="00577DD3"/>
    <w:rsid w:val="00585705"/>
    <w:rsid w:val="00590FC2"/>
    <w:rsid w:val="00591762"/>
    <w:rsid w:val="005A0F16"/>
    <w:rsid w:val="005A40FA"/>
    <w:rsid w:val="005A49F1"/>
    <w:rsid w:val="005B6DF2"/>
    <w:rsid w:val="005C63F7"/>
    <w:rsid w:val="005D3254"/>
    <w:rsid w:val="005D4944"/>
    <w:rsid w:val="005E257F"/>
    <w:rsid w:val="005E366D"/>
    <w:rsid w:val="005E69DB"/>
    <w:rsid w:val="005F1E58"/>
    <w:rsid w:val="00601984"/>
    <w:rsid w:val="00606186"/>
    <w:rsid w:val="006135FC"/>
    <w:rsid w:val="006727F2"/>
    <w:rsid w:val="00677704"/>
    <w:rsid w:val="00682E8D"/>
    <w:rsid w:val="00691110"/>
    <w:rsid w:val="006E1E88"/>
    <w:rsid w:val="00701506"/>
    <w:rsid w:val="00745C85"/>
    <w:rsid w:val="00747660"/>
    <w:rsid w:val="0077264F"/>
    <w:rsid w:val="007A5EE7"/>
    <w:rsid w:val="007C0B2E"/>
    <w:rsid w:val="007C1FAE"/>
    <w:rsid w:val="007C7D3A"/>
    <w:rsid w:val="007E1582"/>
    <w:rsid w:val="00801DBA"/>
    <w:rsid w:val="0080425E"/>
    <w:rsid w:val="00805ACA"/>
    <w:rsid w:val="00822242"/>
    <w:rsid w:val="00823C0F"/>
    <w:rsid w:val="00841871"/>
    <w:rsid w:val="0086282E"/>
    <w:rsid w:val="00870899"/>
    <w:rsid w:val="00876C36"/>
    <w:rsid w:val="00881CF5"/>
    <w:rsid w:val="008A5F51"/>
    <w:rsid w:val="008A60CF"/>
    <w:rsid w:val="008F7157"/>
    <w:rsid w:val="0090456E"/>
    <w:rsid w:val="0090485E"/>
    <w:rsid w:val="009319E1"/>
    <w:rsid w:val="00937FC5"/>
    <w:rsid w:val="0094130C"/>
    <w:rsid w:val="00950868"/>
    <w:rsid w:val="00960FAF"/>
    <w:rsid w:val="00963B52"/>
    <w:rsid w:val="009929BC"/>
    <w:rsid w:val="009A6A26"/>
    <w:rsid w:val="009B2894"/>
    <w:rsid w:val="009C705B"/>
    <w:rsid w:val="009D10A9"/>
    <w:rsid w:val="009E02FC"/>
    <w:rsid w:val="009F0BD8"/>
    <w:rsid w:val="00A046FA"/>
    <w:rsid w:val="00A16D3E"/>
    <w:rsid w:val="00A22AFB"/>
    <w:rsid w:val="00A321A0"/>
    <w:rsid w:val="00A33B33"/>
    <w:rsid w:val="00A43805"/>
    <w:rsid w:val="00A623AB"/>
    <w:rsid w:val="00A636B6"/>
    <w:rsid w:val="00A664D8"/>
    <w:rsid w:val="00A72AFB"/>
    <w:rsid w:val="00AB3235"/>
    <w:rsid w:val="00AB3518"/>
    <w:rsid w:val="00AB484F"/>
    <w:rsid w:val="00AD1EF6"/>
    <w:rsid w:val="00AD6BA3"/>
    <w:rsid w:val="00AE2DD7"/>
    <w:rsid w:val="00AF2B6C"/>
    <w:rsid w:val="00AF3F6F"/>
    <w:rsid w:val="00AF6BE8"/>
    <w:rsid w:val="00B07CD6"/>
    <w:rsid w:val="00B22E9F"/>
    <w:rsid w:val="00B244C9"/>
    <w:rsid w:val="00B43FDC"/>
    <w:rsid w:val="00B55935"/>
    <w:rsid w:val="00B738F8"/>
    <w:rsid w:val="00B75882"/>
    <w:rsid w:val="00B80D3E"/>
    <w:rsid w:val="00B9667D"/>
    <w:rsid w:val="00BA7BE6"/>
    <w:rsid w:val="00BC4582"/>
    <w:rsid w:val="00BD4068"/>
    <w:rsid w:val="00C01BD1"/>
    <w:rsid w:val="00C1399E"/>
    <w:rsid w:val="00C26E5F"/>
    <w:rsid w:val="00C31B5A"/>
    <w:rsid w:val="00C369E6"/>
    <w:rsid w:val="00C44BD4"/>
    <w:rsid w:val="00C76EBE"/>
    <w:rsid w:val="00C876BC"/>
    <w:rsid w:val="00C87D80"/>
    <w:rsid w:val="00CB27DD"/>
    <w:rsid w:val="00CE1F71"/>
    <w:rsid w:val="00CE2057"/>
    <w:rsid w:val="00D04425"/>
    <w:rsid w:val="00D05704"/>
    <w:rsid w:val="00D30967"/>
    <w:rsid w:val="00D46261"/>
    <w:rsid w:val="00D63F92"/>
    <w:rsid w:val="00D772C0"/>
    <w:rsid w:val="00DA6C8E"/>
    <w:rsid w:val="00DC0504"/>
    <w:rsid w:val="00DD0F05"/>
    <w:rsid w:val="00DE02AC"/>
    <w:rsid w:val="00E16291"/>
    <w:rsid w:val="00E27416"/>
    <w:rsid w:val="00E37796"/>
    <w:rsid w:val="00E44CD7"/>
    <w:rsid w:val="00E45DF5"/>
    <w:rsid w:val="00E53BAD"/>
    <w:rsid w:val="00E90F98"/>
    <w:rsid w:val="00EA2120"/>
    <w:rsid w:val="00EB4717"/>
    <w:rsid w:val="00ED5B62"/>
    <w:rsid w:val="00EE7EE1"/>
    <w:rsid w:val="00F33AC9"/>
    <w:rsid w:val="00F570D5"/>
    <w:rsid w:val="00FB2925"/>
    <w:rsid w:val="00FE6AA5"/>
    <w:rsid w:val="00FF005C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4A2A6"/>
  <w14:defaultImageDpi w14:val="96"/>
  <w15:docId w15:val="{67D77286-3560-41D5-A32B-37D078A2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DD7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both"/>
      <w:outlineLvl w:val="0"/>
    </w:pPr>
    <w:rPr>
      <w:rFonts w:ascii="Lucida Sans Unicode" w:hAnsi="Lucida Sans Unicode"/>
      <w:sz w:val="22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spacing w:before="40" w:after="40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spacing w:after="40"/>
      <w:outlineLvl w:val="2"/>
    </w:pPr>
    <w:rPr>
      <w:b/>
      <w:color w:val="000000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outlineLvl w:val="3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99"/>
    <w:rPr>
      <w:color w:val="000000"/>
      <w:sz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5812"/>
        <w:tab w:val="right" w:pos="7230"/>
      </w:tabs>
      <w:spacing w:after="40"/>
    </w:pPr>
    <w:rPr>
      <w:color w:val="00000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Textebrut">
    <w:name w:val="Plain Text"/>
    <w:basedOn w:val="Normal"/>
    <w:link w:val="TextebrutCar"/>
    <w:uiPriority w:val="99"/>
    <w:rsid w:val="002534C2"/>
    <w:rPr>
      <w:rFonts w:ascii="Courier New" w:hAnsi="Courier New" w:cs="Courier New"/>
      <w:sz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urier New" w:hAnsi="Courier New" w:cs="Courier New"/>
    </w:rPr>
  </w:style>
  <w:style w:type="paragraph" w:styleId="En-tte">
    <w:name w:val="header"/>
    <w:basedOn w:val="Normal"/>
    <w:link w:val="En-tteCar"/>
    <w:uiPriority w:val="99"/>
    <w:rsid w:val="00545C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</w:rPr>
  </w:style>
  <w:style w:type="paragraph" w:styleId="Textedebulles">
    <w:name w:val="Balloon Text"/>
    <w:basedOn w:val="Normal"/>
    <w:link w:val="TextedebullesCar"/>
    <w:uiPriority w:val="99"/>
    <w:rsid w:val="00A438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A438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45D1"/>
    <w:pPr>
      <w:spacing w:before="100" w:beforeAutospacing="1" w:after="100" w:afterAutospacing="1"/>
    </w:pPr>
    <w:rPr>
      <w:szCs w:val="24"/>
    </w:rPr>
  </w:style>
  <w:style w:type="table" w:styleId="Grilledutableau">
    <w:name w:val="Table Grid"/>
    <w:basedOn w:val="TableauNormal"/>
    <w:uiPriority w:val="39"/>
    <w:rsid w:val="00B7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D3254"/>
    <w:rPr>
      <w:rFonts w:cs="Times New Roman"/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D763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niv-poitiers.fr/wp-content/uploads/sites/10/2021/03/DECLARATIONSURLHONNEUR_2021-22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niv-poitiers.fr/choisir-luniversite/recrutement/recrutement-personnels-enseignants/" TargetMode="External"/><Relationship Id="rId17" Type="http://schemas.openxmlformats.org/officeDocument/2006/relationships/hyperlink" Target="mailto:recrutement-ater@univ-poitiers.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-poitiers.fr/wp-content/uploads/sites/10/2019/03/Tuto-demat-candidat-ATER-201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rutement-ater2.appli.univ-poitiers.fr/EsupDematEC/log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v-poitiers.fr/wp-content/uploads/sites/10/2021/03/ENGAGEMENTASEPRESENTERAUNCONCOURS-2021-22.docx" TargetMode="External"/><Relationship Id="rId10" Type="http://schemas.openxmlformats.org/officeDocument/2006/relationships/hyperlink" Target="https://galaxie.enseignementsup-recherche.gouv.fr/antares/can/astree/index.j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univ-poitiers.fr/wp-content/uploads/sites/10/2021/03/ATTESTATIONDUDIRECTEURDETHESE_2021-22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3766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>Université de Poitiers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subject/>
  <dc:creator>Bellinda</dc:creator>
  <cp:keywords/>
  <dc:description/>
  <cp:lastModifiedBy>Guillaume RIBOT</cp:lastModifiedBy>
  <cp:revision>2</cp:revision>
  <cp:lastPrinted>2025-01-17T11:08:00Z</cp:lastPrinted>
  <dcterms:created xsi:type="dcterms:W3CDTF">2025-07-16T07:26:00Z</dcterms:created>
  <dcterms:modified xsi:type="dcterms:W3CDTF">2025-07-16T07:26:00Z</dcterms:modified>
</cp:coreProperties>
</file>